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8" w:rsidRDefault="000146A8" w:rsidP="000146A8">
      <w:pPr>
        <w:jc w:val="both"/>
        <w:rPr>
          <w:rFonts w:ascii="Arial" w:hAnsi="Arial" w:cs="Arial"/>
          <w:b/>
          <w:sz w:val="20"/>
          <w:lang w:val="sr-Cyrl-RS"/>
        </w:rPr>
      </w:pPr>
    </w:p>
    <w:p w:rsidR="000146A8" w:rsidRPr="00A75F5C" w:rsidRDefault="000146A8" w:rsidP="000146A8">
      <w:pPr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Наручилац</w:t>
      </w:r>
      <w:r w:rsidRPr="00A75F5C">
        <w:rPr>
          <w:sz w:val="20"/>
          <w:lang w:val="sr-Cyrl-RS"/>
        </w:rPr>
        <w:t>: Основна школа „Сечењи Иштван“</w:t>
      </w:r>
    </w:p>
    <w:p w:rsidR="000146A8" w:rsidRPr="00A75F5C" w:rsidRDefault="000146A8" w:rsidP="000146A8">
      <w:pPr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Адреса</w:t>
      </w:r>
      <w:r w:rsidRPr="00A75F5C">
        <w:rPr>
          <w:sz w:val="20"/>
          <w:lang w:val="sr-Cyrl-RS"/>
        </w:rPr>
        <w:t>: Карађорђев пут бр. 94, Суботица</w:t>
      </w:r>
    </w:p>
    <w:p w:rsidR="000146A8" w:rsidRPr="00A75F5C" w:rsidRDefault="000146A8" w:rsidP="000146A8">
      <w:pPr>
        <w:ind w:right="-894"/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Датум</w:t>
      </w:r>
      <w:r w:rsidRPr="00A75F5C">
        <w:rPr>
          <w:sz w:val="20"/>
          <w:lang w:val="sr-Cyrl-RS"/>
        </w:rPr>
        <w:t>:</w:t>
      </w:r>
      <w:r w:rsidR="00A75F5C" w:rsidRPr="00A75F5C">
        <w:rPr>
          <w:sz w:val="20"/>
          <w:lang w:val="sr-Cyrl-RS"/>
        </w:rPr>
        <w:t xml:space="preserve"> </w:t>
      </w:r>
      <w:r w:rsidR="00DE63C7">
        <w:rPr>
          <w:sz w:val="20"/>
          <w:lang w:val="sr-Cyrl-RS"/>
        </w:rPr>
        <w:t>18</w:t>
      </w:r>
      <w:bookmarkStart w:id="0" w:name="_GoBack"/>
      <w:bookmarkEnd w:id="0"/>
      <w:r w:rsidR="00DC2F5B">
        <w:rPr>
          <w:sz w:val="20"/>
          <w:lang w:val="sr-Cyrl-RS"/>
        </w:rPr>
        <w:t>. 6</w:t>
      </w:r>
      <w:r w:rsidRPr="00A75F5C">
        <w:rPr>
          <w:sz w:val="20"/>
          <w:lang w:val="sr-Cyrl-RS"/>
        </w:rPr>
        <w:t>.</w:t>
      </w:r>
      <w:r w:rsidR="00DC2426" w:rsidRPr="00A75F5C">
        <w:rPr>
          <w:sz w:val="20"/>
          <w:lang w:val="sr-Cyrl-RS"/>
        </w:rPr>
        <w:t xml:space="preserve"> </w:t>
      </w:r>
      <w:r w:rsidR="00DC2F5B">
        <w:rPr>
          <w:sz w:val="20"/>
          <w:lang w:val="sr-Cyrl-RS"/>
        </w:rPr>
        <w:t>2020.</w:t>
      </w:r>
    </w:p>
    <w:p w:rsidR="000146A8" w:rsidRPr="008143CD" w:rsidRDefault="000146A8" w:rsidP="000146A8">
      <w:pPr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Број одлуке</w:t>
      </w:r>
      <w:r w:rsidRPr="00A75F5C">
        <w:rPr>
          <w:sz w:val="20"/>
          <w:lang w:val="sr-Cyrl-RS"/>
        </w:rPr>
        <w:t>: 6-</w:t>
      </w:r>
      <w:r w:rsidR="00515496">
        <w:rPr>
          <w:sz w:val="20"/>
          <w:lang w:val="sr-Cyrl-RS"/>
        </w:rPr>
        <w:t>1435</w:t>
      </w:r>
    </w:p>
    <w:p w:rsidR="000146A8" w:rsidRPr="008143CD" w:rsidRDefault="000146A8" w:rsidP="000146A8">
      <w:pPr>
        <w:jc w:val="both"/>
        <w:rPr>
          <w:lang w:val="sr-Latn-RS"/>
        </w:rPr>
      </w:pPr>
    </w:p>
    <w:p w:rsidR="000146A8" w:rsidRPr="008143CD" w:rsidRDefault="000146A8" w:rsidP="000146A8">
      <w:pPr>
        <w:rPr>
          <w:lang w:val="sr-Cyrl-RS"/>
        </w:rPr>
      </w:pPr>
      <w:r w:rsidRPr="008143CD">
        <w:rPr>
          <w:lang w:val="sr-Cyrl-RS"/>
        </w:rPr>
        <w:t>На основу члана 108. став 1.Закона о јавним набавкама („Сл.гласник РС“ број 68/2015), директор  ОШ „Сечењи Иштван“ доноси:</w:t>
      </w: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о додели уговора</w:t>
      </w: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-јавна набавка мале вредности-</w:t>
      </w: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-ЕЛЕКТРИЧНА ЕНЕРГИЈА-</w:t>
      </w: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51549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БИРА СЕ КАО НАЈПОВИЉНИЈА ПОНУДА СЛЕДЕЋЕГ ПОНУЂАЧА:</w:t>
      </w:r>
    </w:p>
    <w:p w:rsidR="000146A8" w:rsidRPr="008143CD" w:rsidRDefault="000146A8" w:rsidP="0051549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ЈП ЕПС Београд</w:t>
      </w:r>
    </w:p>
    <w:p w:rsidR="00DC2426" w:rsidRDefault="00DC2426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Балканска 13</w:t>
      </w:r>
    </w:p>
    <w:p w:rsidR="000146A8" w:rsidRPr="008143CD" w:rsidRDefault="000146A8" w:rsidP="00515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11000 Београд</w:t>
      </w:r>
    </w:p>
    <w:p w:rsidR="000146A8" w:rsidRPr="008143CD" w:rsidRDefault="000146A8" w:rsidP="0051549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Default="000146A8" w:rsidP="0051549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515496" w:rsidRPr="008143CD" w:rsidRDefault="00515496" w:rsidP="0051549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515496" w:rsidRDefault="000146A8" w:rsidP="00515496">
      <w:pPr>
        <w:jc w:val="both"/>
        <w:rPr>
          <w:lang w:val="sr-Cyrl-RS"/>
        </w:rPr>
      </w:pPr>
      <w:r w:rsidRPr="00515496">
        <w:rPr>
          <w:lang w:val="sr-Cyrl-RS"/>
        </w:rPr>
        <w:t xml:space="preserve">Наручилац је дана </w:t>
      </w:r>
      <w:r w:rsidR="00DC2F5B" w:rsidRPr="00515496">
        <w:rPr>
          <w:lang w:val="sr-Cyrl-RS"/>
        </w:rPr>
        <w:t>1. 6</w:t>
      </w:r>
      <w:r w:rsidRPr="00515496">
        <w:rPr>
          <w:lang w:val="sr-Cyrl-RS"/>
        </w:rPr>
        <w:t>.</w:t>
      </w:r>
      <w:r w:rsidR="00DC2F5B" w:rsidRPr="00515496">
        <w:rPr>
          <w:lang w:val="sr-Cyrl-RS"/>
        </w:rPr>
        <w:t xml:space="preserve"> 2020</w:t>
      </w:r>
      <w:r w:rsidRPr="00515496">
        <w:rPr>
          <w:lang w:val="sr-Cyrl-RS"/>
        </w:rPr>
        <w:t>. године донео Одлуку о покретању поступка јавне набавке мале вредности број 6-</w:t>
      </w:r>
      <w:r w:rsidR="00225157" w:rsidRPr="00515496">
        <w:rPr>
          <w:lang w:val="sr-Cyrl-RS"/>
        </w:rPr>
        <w:t>461</w:t>
      </w:r>
      <w:r w:rsidRPr="00515496">
        <w:rPr>
          <w:lang w:val="sr-Cyrl-RS"/>
        </w:rPr>
        <w:t xml:space="preserve"> за поступак јавне набавке мале вредности ЕЛЕКТРИЧНА ЕНЕРГИЈА. За наведену јавну набавку Наручилац је објавио Позив за подношење понуда на Порталу јавних набавки дана </w:t>
      </w:r>
      <w:r w:rsidR="00DC2F5B" w:rsidRPr="00515496">
        <w:rPr>
          <w:lang w:val="sr-Cyrl-RS"/>
        </w:rPr>
        <w:t>1. 6</w:t>
      </w:r>
      <w:r w:rsidRPr="00515496">
        <w:rPr>
          <w:lang w:val="sr-Cyrl-RS"/>
        </w:rPr>
        <w:t>.</w:t>
      </w:r>
      <w:r w:rsidR="00DC2F5B" w:rsidRPr="00515496">
        <w:rPr>
          <w:lang w:val="sr-Cyrl-RS"/>
        </w:rPr>
        <w:t xml:space="preserve"> 2020</w:t>
      </w:r>
      <w:r w:rsidRPr="00515496">
        <w:rPr>
          <w:lang w:val="sr-Cyrl-RS"/>
        </w:rPr>
        <w:t xml:space="preserve">. До истека рока за подношење понуда, на адресу Наручиоца је приспела само понуда </w:t>
      </w:r>
      <w:r w:rsidR="00515496">
        <w:rPr>
          <w:lang w:val="sr-Cyrl-RS"/>
        </w:rPr>
        <w:t>„</w:t>
      </w:r>
      <w:r w:rsidRPr="00515496">
        <w:rPr>
          <w:lang w:val="sr-Cyrl-RS"/>
        </w:rPr>
        <w:t>ЈП ЕПС Београд</w:t>
      </w:r>
      <w:r w:rsidR="00515496">
        <w:rPr>
          <w:lang w:val="sr-Cyrl-RS"/>
        </w:rPr>
        <w:t>“</w:t>
      </w:r>
      <w:r w:rsidR="00DC2426" w:rsidRPr="00515496">
        <w:rPr>
          <w:lang w:val="sr-Cyrl-RS"/>
        </w:rPr>
        <w:t>, Балканска 13</w:t>
      </w:r>
      <w:r w:rsidRPr="00515496">
        <w:rPr>
          <w:lang w:val="sr-Cyrl-RS"/>
        </w:rPr>
        <w:t>, 11000 Београд.</w:t>
      </w:r>
    </w:p>
    <w:p w:rsidR="000146A8" w:rsidRPr="00515496" w:rsidRDefault="000146A8" w:rsidP="00515496">
      <w:pPr>
        <w:jc w:val="both"/>
        <w:rPr>
          <w:lang w:val="sr-Cyrl-RS"/>
        </w:rPr>
      </w:pPr>
      <w:r w:rsidRPr="00515496">
        <w:rPr>
          <w:lang w:val="sr-Cyrl-R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 У Извештају о стручној оцени понуда број 6-</w:t>
      </w:r>
      <w:r w:rsidR="00225157" w:rsidRPr="00515496">
        <w:rPr>
          <w:lang w:val="sr-Cyrl-RS"/>
        </w:rPr>
        <w:t>505</w:t>
      </w:r>
      <w:r w:rsidR="00DC2426" w:rsidRPr="00515496">
        <w:rPr>
          <w:lang w:val="sr-Cyrl-RS"/>
        </w:rPr>
        <w:t xml:space="preserve"> од </w:t>
      </w:r>
      <w:r w:rsidR="00225157" w:rsidRPr="00515496">
        <w:rPr>
          <w:lang w:val="sr-Cyrl-RS"/>
        </w:rPr>
        <w:t>10. 6</w:t>
      </w:r>
      <w:r w:rsidRPr="00515496">
        <w:rPr>
          <w:lang w:val="sr-Cyrl-RS"/>
        </w:rPr>
        <w:t>.</w:t>
      </w:r>
      <w:r w:rsidR="00DC2426" w:rsidRPr="00515496">
        <w:rPr>
          <w:lang w:val="sr-Cyrl-RS"/>
        </w:rPr>
        <w:t xml:space="preserve"> </w:t>
      </w:r>
      <w:r w:rsidR="00225157" w:rsidRPr="00515496">
        <w:rPr>
          <w:lang w:val="sr-Cyrl-RS"/>
        </w:rPr>
        <w:t>2020</w:t>
      </w:r>
      <w:r w:rsidRPr="00515496">
        <w:rPr>
          <w:lang w:val="sr-Cyrl-RS"/>
        </w:rPr>
        <w:t>.године, Комисија за јавне набавке је констатовала следеће: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1.Основни подаци о јавној набавци: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</w:t>
            </w:r>
          </w:p>
        </w:tc>
        <w:tc>
          <w:tcPr>
            <w:tcW w:w="4788" w:type="dxa"/>
          </w:tcPr>
          <w:p w:rsidR="000146A8" w:rsidRPr="008143CD" w:rsidRDefault="00DC2F5B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електрична енергија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предмета јавне набавке</w:t>
            </w:r>
          </w:p>
        </w:tc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добра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ЈН</w:t>
            </w:r>
          </w:p>
        </w:tc>
        <w:tc>
          <w:tcPr>
            <w:tcW w:w="4788" w:type="dxa"/>
          </w:tcPr>
          <w:p w:rsidR="000146A8" w:rsidRPr="008143CD" w:rsidRDefault="00DC2F5B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2/2020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ЈН</w:t>
            </w:r>
          </w:p>
        </w:tc>
        <w:tc>
          <w:tcPr>
            <w:tcW w:w="4788" w:type="dxa"/>
          </w:tcPr>
          <w:p w:rsidR="000146A8" w:rsidRPr="008143CD" w:rsidRDefault="00DC2F5B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1.70</w:t>
            </w:r>
            <w:r w:rsidR="00DC24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0146A8"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доношења Одлуке о покретању</w:t>
            </w:r>
          </w:p>
        </w:tc>
        <w:tc>
          <w:tcPr>
            <w:tcW w:w="4788" w:type="dxa"/>
          </w:tcPr>
          <w:p w:rsidR="000146A8" w:rsidRPr="00E67E2C" w:rsidRDefault="00225157" w:rsidP="00E67E2C">
            <w:pPr>
              <w:rPr>
                <w:b/>
                <w:lang w:val="sr-Cyrl-RS"/>
              </w:rPr>
            </w:pPr>
            <w:r w:rsidRPr="00E67E2C">
              <w:rPr>
                <w:b/>
                <w:lang w:val="sr-Cyrl-RS"/>
              </w:rPr>
              <w:t>1. 6</w:t>
            </w:r>
            <w:r w:rsidR="000146A8" w:rsidRPr="00E67E2C">
              <w:rPr>
                <w:b/>
                <w:lang w:val="sr-Cyrl-RS"/>
              </w:rPr>
              <w:t>.</w:t>
            </w:r>
            <w:r w:rsidRPr="00E67E2C">
              <w:rPr>
                <w:b/>
                <w:lang w:val="sr-Cyrl-RS"/>
              </w:rPr>
              <w:t xml:space="preserve"> 2020</w:t>
            </w:r>
            <w:r w:rsidR="000146A8" w:rsidRPr="00E67E2C">
              <w:rPr>
                <w:b/>
                <w:lang w:val="sr-Cyrl-RS"/>
              </w:rPr>
              <w:t>.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јавног отварања понуда</w:t>
            </w:r>
          </w:p>
        </w:tc>
        <w:tc>
          <w:tcPr>
            <w:tcW w:w="4788" w:type="dxa"/>
          </w:tcPr>
          <w:p w:rsidR="000146A8" w:rsidRPr="008143CD" w:rsidRDefault="00DC2F5B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9. 6</w:t>
            </w:r>
            <w:r w:rsidR="000146A8"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2020</w:t>
            </w:r>
            <w:r w:rsidR="000146A8"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</w:tbl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2.Преглед процењене вредности и укупних цена из прворангиране понуде: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531"/>
        <w:gridCol w:w="1565"/>
        <w:gridCol w:w="2274"/>
        <w:gridCol w:w="2380"/>
      </w:tblGrid>
      <w:tr w:rsidR="000146A8" w:rsidRPr="008143CD" w:rsidTr="0079506E">
        <w:tc>
          <w:tcPr>
            <w:tcW w:w="472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53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ОПИС НАБАВКЕ</w:t>
            </w:r>
          </w:p>
        </w:tc>
        <w:tc>
          <w:tcPr>
            <w:tcW w:w="1565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Процењена вредност</w:t>
            </w:r>
          </w:p>
        </w:tc>
        <w:tc>
          <w:tcPr>
            <w:tcW w:w="2274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Цена из понуде без ПДВ-а</w:t>
            </w:r>
          </w:p>
        </w:tc>
        <w:tc>
          <w:tcPr>
            <w:tcW w:w="2380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Цена из понуде са ПДВ-ом</w:t>
            </w:r>
          </w:p>
        </w:tc>
      </w:tr>
      <w:tr w:rsidR="00671E4A" w:rsidRPr="00F0073A" w:rsidTr="0079506E">
        <w:tc>
          <w:tcPr>
            <w:tcW w:w="472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531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ОПИС НАБАВКЕ</w:t>
            </w:r>
          </w:p>
        </w:tc>
        <w:tc>
          <w:tcPr>
            <w:tcW w:w="1565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Процењена вредност</w:t>
            </w:r>
          </w:p>
        </w:tc>
        <w:tc>
          <w:tcPr>
            <w:tcW w:w="2274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Цена из понуде без ПДВ-а</w:t>
            </w:r>
          </w:p>
        </w:tc>
        <w:tc>
          <w:tcPr>
            <w:tcW w:w="2380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Цена из понуде са ПДВ-ом</w:t>
            </w:r>
          </w:p>
        </w:tc>
      </w:tr>
      <w:tr w:rsidR="00671E4A" w:rsidRPr="00F0073A" w:rsidTr="0079506E">
        <w:tc>
          <w:tcPr>
            <w:tcW w:w="472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31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65" w:type="dxa"/>
          </w:tcPr>
          <w:p w:rsidR="00671E4A" w:rsidRPr="00225157" w:rsidRDefault="00225157" w:rsidP="00225157">
            <w:r w:rsidRPr="00225157">
              <w:t>1.70</w:t>
            </w:r>
            <w:r w:rsidR="00671E4A" w:rsidRPr="00225157">
              <w:t>0.000,00</w:t>
            </w:r>
          </w:p>
        </w:tc>
        <w:tc>
          <w:tcPr>
            <w:tcW w:w="2274" w:type="dxa"/>
          </w:tcPr>
          <w:p w:rsidR="00671E4A" w:rsidRPr="00225157" w:rsidRDefault="00671E4A" w:rsidP="00225157">
            <w:pPr>
              <w:rPr>
                <w:lang w:val="sr-Cyrl-RS"/>
              </w:rPr>
            </w:pPr>
            <w:r w:rsidRPr="00225157">
              <w:rPr>
                <w:lang w:val="sr-Cyrl-RS"/>
              </w:rPr>
              <w:t xml:space="preserve">Укупна цена за активну енергију ВТ: </w:t>
            </w:r>
          </w:p>
          <w:p w:rsidR="00671E4A" w:rsidRPr="00225157" w:rsidRDefault="00E31424" w:rsidP="00225157">
            <w:pPr>
              <w:rPr>
                <w:lang w:val="sr-Cyrl-RS"/>
              </w:rPr>
            </w:pPr>
            <w:r>
              <w:rPr>
                <w:lang w:val="sr-Cyrl-RS"/>
              </w:rPr>
              <w:t>без ПДВ-а 898.310,0</w:t>
            </w:r>
            <w:r w:rsidR="00671E4A" w:rsidRPr="00225157">
              <w:rPr>
                <w:lang w:val="sr-Cyrl-RS"/>
              </w:rPr>
              <w:t>0 динара</w:t>
            </w:r>
          </w:p>
          <w:p w:rsidR="00671E4A" w:rsidRPr="00225157" w:rsidRDefault="00E31424" w:rsidP="00225157">
            <w:pPr>
              <w:rPr>
                <w:lang w:val="sr-Cyrl-RS"/>
              </w:rPr>
            </w:pPr>
            <w:r>
              <w:rPr>
                <w:lang w:val="sr-Cyrl-RS"/>
              </w:rPr>
              <w:t>са ПДВ-ом 1.077.972,00</w:t>
            </w:r>
            <w:r w:rsidR="00671E4A" w:rsidRPr="00225157">
              <w:rPr>
                <w:lang w:val="sr-Cyrl-RS"/>
              </w:rPr>
              <w:t xml:space="preserve"> динара</w:t>
            </w:r>
          </w:p>
          <w:p w:rsidR="00671E4A" w:rsidRPr="00DC2F5B" w:rsidRDefault="00671E4A" w:rsidP="0079506E">
            <w:pPr>
              <w:jc w:val="center"/>
              <w:rPr>
                <w:b/>
                <w:lang w:val="sr-Cyrl-R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80" w:type="dxa"/>
          </w:tcPr>
          <w:p w:rsidR="00671E4A" w:rsidRPr="00DC2F5B" w:rsidRDefault="00671E4A" w:rsidP="00E31424">
            <w:pPr>
              <w:rPr>
                <w:lang w:val="sr-Cyrl-RS"/>
              </w:rPr>
            </w:pPr>
            <w:r w:rsidRPr="00DC2F5B">
              <w:rPr>
                <w:lang w:val="sr-Cyrl-RS"/>
              </w:rPr>
              <w:t>Укупна цена за активну енергију НТ:</w:t>
            </w:r>
          </w:p>
          <w:p w:rsidR="00671E4A" w:rsidRPr="00DC2F5B" w:rsidRDefault="00E31424" w:rsidP="00E31424">
            <w:pPr>
              <w:rPr>
                <w:lang w:val="sr-Cyrl-RS"/>
              </w:rPr>
            </w:pPr>
            <w:r>
              <w:rPr>
                <w:lang w:val="sr-Cyrl-RS"/>
              </w:rPr>
              <w:t>без ПДВ-а 196.038,00</w:t>
            </w:r>
            <w:r w:rsidR="00671E4A" w:rsidRPr="00DC2F5B">
              <w:rPr>
                <w:lang w:val="sr-Cyrl-RS"/>
              </w:rPr>
              <w:t xml:space="preserve"> динара</w:t>
            </w:r>
          </w:p>
          <w:p w:rsidR="00671E4A" w:rsidRPr="00DC2F5B" w:rsidRDefault="00E31424" w:rsidP="00E31424">
            <w:pPr>
              <w:rPr>
                <w:lang w:val="sr-Cyrl-RS"/>
              </w:rPr>
            </w:pPr>
            <w:r>
              <w:rPr>
                <w:lang w:val="sr-Cyrl-RS"/>
              </w:rPr>
              <w:t>са ПДВ-ом 235.246,32</w:t>
            </w:r>
            <w:r w:rsidR="00671E4A" w:rsidRPr="00DC2F5B">
              <w:rPr>
                <w:lang w:val="sr-Cyrl-RS"/>
              </w:rPr>
              <w:t xml:space="preserve"> динара</w:t>
            </w:r>
          </w:p>
          <w:p w:rsidR="00671E4A" w:rsidRPr="00DC2F5B" w:rsidRDefault="00671E4A" w:rsidP="00E31424">
            <w:pPr>
              <w:rPr>
                <w:lang w:val="sr-Cyrl-RS"/>
              </w:rPr>
            </w:pPr>
          </w:p>
          <w:p w:rsidR="00671E4A" w:rsidRPr="00DC2F5B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2F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</w:tbl>
    <w:p w:rsidR="00671E4A" w:rsidRPr="00DC2F5B" w:rsidRDefault="00671E4A" w:rsidP="00E31424">
      <w:pPr>
        <w:rPr>
          <w:lang w:val="sr-Cyrl-RS"/>
        </w:rPr>
      </w:pPr>
      <w:r w:rsidRPr="00F0073A">
        <w:rPr>
          <w:lang w:val="sr-Cyrl-RS"/>
        </w:rPr>
        <w:t>Укупна цена из понуде без ПДВ-а : 1</w:t>
      </w:r>
      <w:r w:rsidR="00E31424">
        <w:rPr>
          <w:lang w:val="sr-Cyrl-RS"/>
        </w:rPr>
        <w:t>.094.348</w:t>
      </w:r>
      <w:r w:rsidRPr="00DC2F5B">
        <w:rPr>
          <w:lang w:val="sr-Cyrl-RS"/>
        </w:rPr>
        <w:t>,00 динара.</w:t>
      </w:r>
    </w:p>
    <w:p w:rsidR="00671E4A" w:rsidRPr="00F0073A" w:rsidRDefault="00671E4A" w:rsidP="00E31424">
      <w:r w:rsidRPr="00DC2F5B">
        <w:rPr>
          <w:lang w:val="sr-Cyrl-RS"/>
        </w:rPr>
        <w:lastRenderedPageBreak/>
        <w:t>Укупна</w:t>
      </w:r>
      <w:r w:rsidR="00E31424">
        <w:rPr>
          <w:lang w:val="sr-Cyrl-RS"/>
        </w:rPr>
        <w:t xml:space="preserve"> цена из понуде са ПДВ-ом: 1.313.</w:t>
      </w:r>
      <w:r w:rsidR="00E67E2C">
        <w:rPr>
          <w:lang w:val="sr-Cyrl-RS"/>
        </w:rPr>
        <w:t>218,32</w:t>
      </w:r>
      <w:r w:rsidRPr="00DC2F5B">
        <w:rPr>
          <w:lang w:val="sr-Cyrl-RS"/>
        </w:rPr>
        <w:t xml:space="preserve"> </w:t>
      </w:r>
      <w:r w:rsidRPr="00F0073A">
        <w:rPr>
          <w:lang w:val="sr-Cyrl-RS"/>
        </w:rPr>
        <w:t>динара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5.Основни подаци о понуђачу и поднетој понуди: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481"/>
        <w:gridCol w:w="1971"/>
        <w:gridCol w:w="1137"/>
        <w:gridCol w:w="1544"/>
        <w:gridCol w:w="1537"/>
      </w:tblGrid>
      <w:tr w:rsidR="000146A8" w:rsidRPr="008143CD" w:rsidTr="0079506E">
        <w:tc>
          <w:tcPr>
            <w:tcW w:w="552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РБ</w:t>
            </w:r>
          </w:p>
        </w:tc>
        <w:tc>
          <w:tcPr>
            <w:tcW w:w="248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197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1137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Дел.број</w:t>
            </w:r>
          </w:p>
        </w:tc>
        <w:tc>
          <w:tcPr>
            <w:tcW w:w="1544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Датум пријема</w:t>
            </w:r>
          </w:p>
        </w:tc>
        <w:tc>
          <w:tcPr>
            <w:tcW w:w="1537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Време пријема</w:t>
            </w:r>
          </w:p>
        </w:tc>
      </w:tr>
      <w:tr w:rsidR="000146A8" w:rsidRPr="008143CD" w:rsidTr="0079506E">
        <w:tc>
          <w:tcPr>
            <w:tcW w:w="552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8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143CD">
              <w:rPr>
                <w:rFonts w:ascii="Times New Roman" w:hAnsi="Times New Roman" w:cs="Times New Roman"/>
                <w:lang w:val="sr-Cyrl-RS"/>
              </w:rPr>
              <w:t>ЈП ЕПС Београд</w:t>
            </w:r>
          </w:p>
        </w:tc>
        <w:tc>
          <w:tcPr>
            <w:tcW w:w="1971" w:type="dxa"/>
          </w:tcPr>
          <w:p w:rsidR="000146A8" w:rsidRPr="008143CD" w:rsidRDefault="00671E4A" w:rsidP="007950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Балканска 13</w:t>
            </w:r>
            <w:r w:rsidR="000146A8" w:rsidRPr="008143CD">
              <w:rPr>
                <w:rFonts w:ascii="Times New Roman" w:hAnsi="Times New Roman" w:cs="Times New Roman"/>
                <w:lang w:val="sr-Cyrl-RS"/>
              </w:rPr>
              <w:t>, 11000 Београд</w:t>
            </w:r>
          </w:p>
        </w:tc>
        <w:tc>
          <w:tcPr>
            <w:tcW w:w="1137" w:type="dxa"/>
          </w:tcPr>
          <w:p w:rsidR="000146A8" w:rsidRPr="008143CD" w:rsidRDefault="00DC2F5B" w:rsidP="007950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6-593</w:t>
            </w:r>
          </w:p>
        </w:tc>
        <w:tc>
          <w:tcPr>
            <w:tcW w:w="1544" w:type="dxa"/>
          </w:tcPr>
          <w:p w:rsidR="000146A8" w:rsidRPr="008143CD" w:rsidRDefault="00DC2F5B" w:rsidP="007950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9. 6</w:t>
            </w:r>
            <w:r w:rsidR="000146A8" w:rsidRPr="008143CD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2020</w:t>
            </w:r>
            <w:r w:rsidR="00671E4A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537" w:type="dxa"/>
          </w:tcPr>
          <w:p w:rsidR="000146A8" w:rsidRPr="008143CD" w:rsidRDefault="00DC2F5B" w:rsidP="00DC2F5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11:30</w:t>
            </w:r>
          </w:p>
        </w:tc>
      </w:tr>
    </w:tbl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Неблаговремених понуда није било.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8143C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Назив понуђача коме је додељен уговор: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Комисија за јавне набавке Основне школе „Сечењи Иштван“ након сачињавања Извештаја о стручној оцени поднетих понуда, констатује да је најнижа понуђена цена понуђача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ЈП ЕПС Београд</w:t>
      </w:r>
    </w:p>
    <w:p w:rsidR="00671E4A" w:rsidRDefault="00671E4A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Балканска 13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11000 Београд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леку: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 xml:space="preserve">Против ове Одлуке Понуђач може Наручиоцу поднети Захтев за заштиту права у року од </w:t>
      </w: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дана од дана објаве на Порталу Јавних набавки.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ДОНОСИЛАЦ ОДЛУКЕ</w:t>
      </w: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Директор ОШ „Сечењи Иштван“</w:t>
      </w: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D43751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Весна Вајс</w:t>
      </w:r>
    </w:p>
    <w:p w:rsidR="000146A8" w:rsidRDefault="000146A8" w:rsidP="000146A8">
      <w:pPr>
        <w:rPr>
          <w:lang w:val="sr-Cyrl-RS"/>
        </w:rPr>
      </w:pPr>
    </w:p>
    <w:p w:rsidR="000146A8" w:rsidRDefault="000146A8" w:rsidP="000146A8">
      <w:pPr>
        <w:rPr>
          <w:lang w:val="sr-Cyrl-RS"/>
        </w:rPr>
      </w:pPr>
    </w:p>
    <w:p w:rsidR="000146A8" w:rsidRPr="00D43751" w:rsidRDefault="000146A8" w:rsidP="000146A8">
      <w:pPr>
        <w:rPr>
          <w:lang w:val="sr-Cyrl-RS"/>
        </w:rPr>
      </w:pPr>
    </w:p>
    <w:p w:rsidR="000146A8" w:rsidRDefault="000146A8" w:rsidP="000146A8">
      <w:pPr>
        <w:pStyle w:val="NoSpacing"/>
        <w:rPr>
          <w:rFonts w:ascii="Times New Roman" w:hAnsi="Times New Roman" w:cs="Times New Roman"/>
          <w:lang w:val="sr-Latn-RS"/>
        </w:rPr>
      </w:pPr>
    </w:p>
    <w:p w:rsidR="000146A8" w:rsidRPr="00B9328B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F41EAF" w:rsidRDefault="000146A8" w:rsidP="000146A8">
      <w:pPr>
        <w:jc w:val="both"/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4B12A5" w:rsidRDefault="00DE63C7"/>
    <w:sectPr w:rsidR="004B12A5" w:rsidSect="00A7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450"/>
    <w:multiLevelType w:val="hybridMultilevel"/>
    <w:tmpl w:val="52FA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A8"/>
    <w:rsid w:val="000146A8"/>
    <w:rsid w:val="00225157"/>
    <w:rsid w:val="00515496"/>
    <w:rsid w:val="00671E4A"/>
    <w:rsid w:val="006901F4"/>
    <w:rsid w:val="00A75F5C"/>
    <w:rsid w:val="00B97B4E"/>
    <w:rsid w:val="00CB5F31"/>
    <w:rsid w:val="00DB36A4"/>
    <w:rsid w:val="00DC2426"/>
    <w:rsid w:val="00DC2F5B"/>
    <w:rsid w:val="00DE63C7"/>
    <w:rsid w:val="00DF5894"/>
    <w:rsid w:val="00E31424"/>
    <w:rsid w:val="00E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46A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146A8"/>
  </w:style>
  <w:style w:type="table" w:styleId="TableGrid">
    <w:name w:val="Table Grid"/>
    <w:basedOn w:val="TableNormal"/>
    <w:uiPriority w:val="59"/>
    <w:rsid w:val="000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46A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146A8"/>
  </w:style>
  <w:style w:type="table" w:styleId="TableGrid">
    <w:name w:val="Table Grid"/>
    <w:basedOn w:val="TableNormal"/>
    <w:uiPriority w:val="59"/>
    <w:rsid w:val="000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2020-06-18T09:10:00Z</dcterms:created>
  <dcterms:modified xsi:type="dcterms:W3CDTF">2020-06-18T09:14:00Z</dcterms:modified>
</cp:coreProperties>
</file>